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17955"/>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1795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9"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(Terborgh, 1985; Parker</w:t>
      </w:r>
      <w:r>
        <w:t xml:space="preserve"> </w:t>
      </w:r>
      <w:r>
        <w:rPr>
          <w:iCs/>
          <w:i/>
        </w:rPr>
        <w:t xml:space="preserve">et al.</w:t>
      </w:r>
      <w:r>
        <w:t xml:space="preserve">, 1989; e.g., SCBI, SERC and HARV, Fig. 2a,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2019b;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 [</w:t>
      </w:r>
      <w:r>
        <w:rPr>
          <w:bCs/>
          <w:b/>
        </w:rPr>
        <w:t xml:space="preserve">REF- Ty or Marielle</w:t>
      </w:r>
      <w:r>
        <w:t xml:space="preserve">]</w:t>
      </w:r>
      <w:r>
        <w:t xml:space="preserve"> </w:t>
      </w:r>
      <w:r>
        <w:t xml:space="preserve">The implication of this light gradient is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 2.2).</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 2.2).</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 2.2).</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w:t>
      </w:r>
      <w:r>
        <w:rPr>
          <w:vertAlign w:val="superscript"/>
        </w:rPr>
        <w:t xml:space="preserve">2</w:t>
      </w:r>
      <w:r>
        <w:t xml:space="preserve">); ws = wind 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(Niinemets &amp; Valladares, 2004; Fig. 3b,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gas exchange and its thermal sensitivity</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observed variation in leaf traits across the vertical gradient and/or between sun and shade leaves. 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(Vogel, 1968; Zwieniecki</w:t>
      </w:r>
      <w:r>
        <w:t xml:space="preserve"> </w:t>
      </w:r>
      <w:r>
        <w:rPr>
          <w:iCs/>
          <w:i/>
        </w:rPr>
        <w:t xml:space="preserve">et al.</w:t>
      </w:r>
      <w:r>
        <w:t xml:space="preserve">, 2004; Sack</w:t>
      </w:r>
      <w:r>
        <w:t xml:space="preserve"> </w:t>
      </w:r>
      <w:r>
        <w:rPr>
          <w:iCs/>
          <w:i/>
        </w:rPr>
        <w:t xml:space="preserve">et al.</w:t>
      </w:r>
      <w:r>
        <w:t xml:space="preserve">, 2006; Fig. 3,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also</w:t>
      </w:r>
      <w:r>
        <w:t xml:space="preserve"> </w:t>
      </w:r>
      <w:r>
        <w:t xml:space="preserve">‘Leaf gas exchange and its thermal sensitivity’</w:t>
      </w:r>
      <w:r>
        <w:t xml:space="preserve"> </w:t>
      </w:r>
      <w:r>
        <w:t xml:space="preserve">section,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(protects against water loss) and higher trichome density (reduces</w:t>
      </w:r>
      <w:r>
        <w:t xml:space="preserve"> </w:t>
      </w:r>
      <m:oMath>
        <m:sSub>
          <m:e>
            <m:r>
              <m:t>g</m:t>
            </m:r>
          </m:e>
          <m:sub>
            <m:r>
              <m:t>b</m:t>
            </m:r>
          </m:sub>
        </m:sSub>
      </m:oMath>
      <w:r>
        <w:t xml:space="preserve">;</w:t>
      </w:r>
      <w:r>
        <w:t xml:space="preserve"> </w:t>
      </w:r>
      <w:r>
        <w:rPr>
          <w:bCs/>
          <w:b/>
        </w:rPr>
        <w:t xml:space="preserve">REF?</w:t>
      </w:r>
      <w:r>
        <w:t xml:space="preserve">).</w:t>
      </w:r>
      <w:r>
        <w:t xml:space="preserve"> </w:t>
      </w:r>
      <w:r>
        <w:t xml:space="preserve">In contrast, shade leaves have traits that maximize light capture in the diffuse-light environment with sunflecks (e.g., lower LMA and higher light absorptance efficiency per unit biomass), but their greater thermal capacitance due to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 air temperature (</w:t>
      </w:r>
      <m:oMath>
        <m:sSub>
          <m:e>
            <m:r>
              <m:t>T</m:t>
            </m:r>
          </m:e>
          <m:sub>
            <m:r>
              <m:t>a</m:t>
            </m:r>
            <m:r>
              <m:t>i</m:t>
            </m:r>
            <m:sSub>
              <m:e>
                <m:r>
                  <m:t>r</m:t>
                </m:r>
              </m:e>
              <m:sub>
                <m:r>
                  <m:t>m</m:t>
                </m:r>
                <m:r>
                  <m:t>a</m:t>
                </m:r>
                <m:r>
                  <m:t>x</m:t>
                </m:r>
              </m:sub>
            </m:sSub>
          </m:sub>
        </m:sSub>
      </m:oMath>
      <w:r>
        <w:t xml:space="preserve">) 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w:t>
      </w:r>
      <w:r>
        <w:t xml:space="preserve"> </w:t>
      </w:r>
      <w:r>
        <w:t xml:space="preserve">“</w:t>
      </w:r>
      <w:r>
        <w:t xml:space="preserve">Leaf gas exchange and its thermal sensitivity</w:t>
      </w:r>
      <w:r>
        <w:t xml:space="preserve">”</w:t>
      </w:r>
      <w:r>
        <w:t xml:space="preserve"> </w:t>
      </w:r>
      <w:r>
        <w:t xml:space="preserve">section,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higher (see</w:t>
      </w:r>
      <w:r>
        <w:t xml:space="preserve"> </w:t>
      </w:r>
      <w:r>
        <w:t xml:space="preserve">“</w:t>
      </w:r>
      <w:r>
        <w:t xml:space="preserve">Leaf gas exchange and its thermal sensitivity</w:t>
      </w:r>
      <w:r>
        <w:t xml:space="preserve">”</w:t>
      </w:r>
      <w:r>
        <w:t xml:space="preserve"> </w:t>
      </w:r>
      <w:r>
        <w:t xml:space="preserve">section,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concentrations in leaf tissues (Table 1).</w:t>
      </w:r>
    </w:p>
    <w:p>
      <w:pPr>
        <w:pStyle w:val="BodyText"/>
      </w:pPr>
      <w:r>
        <w:rPr>
          <w:iCs/>
          <w:i/>
        </w:rPr>
        <w:t xml:space="preserve">beta carotene and lutein are part of the caratenoids pool that responsible for light absorption, and also heat energy dissipation</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2007a;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emissions of volatile organic compounds (VOCs), including isoprenes and monoterpenes, enhances photosynthetic thermal tolerance by regulating antioxidant defenses and other metabolic processes [</w:t>
      </w:r>
      <w:r>
        <w:t xml:space="preserve">Sharkey</w:t>
      </w:r>
      <w:r>
        <w:t xml:space="preserve"> </w:t>
      </w:r>
      <w:r>
        <w:rPr>
          <w:iCs/>
          <w:i/>
        </w:rPr>
        <w:t xml:space="preserve">et al.</w:t>
      </w:r>
      <w:r>
        <w:t xml:space="preserve"> </w:t>
      </w:r>
      <w:r>
        <w:t xml:space="preserve">(2008)</w:t>
      </w:r>
      <w:r>
        <w:t xml:space="preserve">;</w:t>
      </w:r>
      <w:r>
        <w:t xml:space="preserve"> </w:t>
      </w:r>
      <w:r>
        <w:t xml:space="preserve">Taylor</w:t>
      </w:r>
      <w:r>
        <w:t xml:space="preserve"> </w:t>
      </w:r>
      <w:r>
        <w:rPr>
          <w:iCs/>
          <w:i/>
        </w:rPr>
        <w:t xml:space="preserve">et al.</w:t>
      </w:r>
      <w:r>
        <w:t xml:space="preserve"> </w:t>
      </w:r>
      <w:r>
        <w:t xml:space="preserve">(2019)</w:t>
      </w:r>
      <w:r>
        <w:t xml:space="preserve">;</w:t>
      </w:r>
      <w:r>
        <w:t xml:space="preserve"> </w:t>
      </w:r>
      <w:r>
        <w:t xml:space="preserve">Monson</w:t>
      </w:r>
      <w:r>
        <w:t xml:space="preserve"> </w:t>
      </w:r>
      <w:r>
        <w:rPr>
          <w:iCs/>
          <w:i/>
        </w:rPr>
        <w:t xml:space="preserve">et al.</w:t>
      </w:r>
      <w:r>
        <w:t xml:space="preserve"> </w:t>
      </w:r>
      <w:r>
        <w:t xml:space="preserve">(2021)</w:t>
      </w:r>
      <w:r>
        <w:t xml:space="preserve">;</w:t>
      </w:r>
      <w:r>
        <w:t xml:space="preserve"> </w:t>
      </w:r>
      <w:r>
        <w:rPr>
          <w:bCs/>
          <w:b/>
        </w:rPr>
        <w:t xml:space="preserve">REF ON MONOTERPENES?</w:t>
      </w:r>
      <w:r>
        <w:t xml:space="preserve">].</w:t>
      </w:r>
      <w:r>
        <w:t xml:space="preserve"> </w:t>
      </w:r>
      <w:r>
        <w:t xml:space="preserve">VOC emission capacity is a species-level trait [</w:t>
      </w:r>
      <w:r>
        <w:rPr>
          <w:bCs/>
          <w:b/>
        </w:rPr>
        <w:t xml:space="preserve">REFS</w:t>
      </w:r>
      <w:r>
        <w:t xml:space="preserve">], such that intrapspecific variation across across vertical gradients are not applicable, but frequency of this trait varies across the vertical gradient (see section 3.2), as do emission rates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 and a recent inventory in an Amazon forest showed that both the abundance of emitting species and average emission rates were highest in the mid-canopy</w:t>
      </w:r>
      <w:r>
        <w:t xml:space="preserve"> </w:t>
      </w:r>
      <w:r>
        <w:t xml:space="preserve">(see section 4.4, Taylor</w:t>
      </w:r>
      <w:r>
        <w:t xml:space="preserve"> </w:t>
      </w:r>
      <w:r>
        <w:rPr>
          <w:iCs/>
          <w:i/>
        </w:rPr>
        <w:t xml:space="preserve">et al.</w:t>
      </w:r>
      <w:r>
        <w:t xml:space="preserve">, 2021)</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929736"/>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92973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6437"/>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6437"/>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4.1. 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bookmarkEnd w:id="39"/>
    <w:bookmarkStart w:id="40"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2019a)</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requires diurnal monitoring of net photosynthesis through the canopy.</w:t>
      </w:r>
    </w:p>
    <w:p>
      <w:pPr>
        <w:pStyle w:val="BodyText"/>
      </w:pP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Chinquapin oak (</w:t>
      </w:r>
      <w:r>
        <w:rPr>
          <w:iCs/>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Additionally, thermal tolerances are explained more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Cs/>
          <w:i/>
        </w:rPr>
        <w:t xml:space="preserve">et al.</w:t>
      </w:r>
      <w:r>
        <w:t xml:space="preserve">, 2021a)</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may vary based on forest type, acclimation to high temperature that decreases</w:t>
      </w:r>
      <w:r>
        <w:t xml:space="preserve"> </w:t>
      </w:r>
      <m:oMath>
        <m:sSub>
          <m:e>
            <m:r>
              <m:t>Q</m:t>
            </m:r>
          </m:e>
          <m:sub>
            <m:r>
              <m:t>10</m:t>
            </m:r>
          </m:sub>
        </m:sSub>
      </m:oMath>
      <w:r>
        <w:t xml:space="preserve"> </w:t>
      </w:r>
      <w:r>
        <w:t xml:space="preserve">(Slot &amp; Kitajima, 2015)</w:t>
      </w:r>
      <w:r>
        <w:t xml:space="preserve">, or leaf traits and leaf age.</w:t>
      </w:r>
      <w:r>
        <w:t xml:space="preserve"> </w:t>
      </w:r>
      <w:r>
        <w:t xml:space="preserve">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Cs/>
          <w:i/>
        </w:rPr>
        <w:t xml:space="preserve">et al.</w:t>
      </w:r>
      <w:r>
        <w:t xml:space="preserve">,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1"/>
    <w:bookmarkStart w:id="42" w:name="voc-emissions"/>
    <w:p>
      <w:pPr>
        <w:pStyle w:val="Heading3"/>
      </w:pPr>
      <w:r>
        <w:t xml:space="preserve">4.4. VOC emissions</w:t>
      </w:r>
    </w:p>
    <w:p>
      <w:pPr>
        <w:pStyle w:val="FirstParagraph"/>
      </w:pPr>
      <w:r>
        <w:t xml:space="preserve">Emission of the VOC isoprene gas from tree leaves is a temperature-sensitive process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w:t>
      </w:r>
      <w:r>
        <w:t xml:space="preserve">.</w:t>
      </w:r>
      <w:r>
        <w:t xml:space="preserve"> </w:t>
      </w:r>
      <w:r>
        <w:t xml:space="preserve">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In contrast, vertical structuring of leaf isoprene emissions within forests may indicate the importance of temporal variability in thermal conditions as distinct from the long-term average.</w:t>
      </w:r>
      <w:r>
        <w:t xml:space="preserve"> </w:t>
      </w:r>
      <w:r>
        <w:t xml:space="preserve">The observation that both the abundance of emitting species (Table ) and average emission rates were highest in the mid-canopy region of an Amazonian forest</w:t>
      </w:r>
      <w:r>
        <w:t xml:space="preserve"> </w:t>
      </w:r>
      <w:r>
        <w:t xml:space="preserve">(Taylor</w:t>
      </w:r>
      <w:r>
        <w:t xml:space="preserve"> </w:t>
      </w:r>
      <w:r>
        <w:rPr>
          <w:iCs/>
          <w:i/>
        </w:rPr>
        <w:t xml:space="preserve">et al.</w:t>
      </w:r>
      <w:r>
        <w:t xml:space="preserve">, 2021)</w:t>
      </w:r>
      <w:r>
        <w:t xml:space="preserve"> </w:t>
      </w:r>
      <w:r>
        <w:t xml:space="preserve">– as opposed to the the hotter and brighter upper canopy– is consistent with the hypothesis that temperature sensitive isoprene emissions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isoprenes in forest thermal sensitivity across the vertical gradient.</w:t>
      </w:r>
    </w:p>
    <w:bookmarkEnd w:id="42"/>
    <w:bookmarkEnd w:id="43"/>
    <w:bookmarkStart w:id="48"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5"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Within a stand, woody growth rates, measured as radial stem growth or biomass increment, generally increase with tree size</w:t>
      </w:r>
      <w:r>
        <w:t xml:space="preserve"> </w:t>
      </w:r>
      <w:r>
        <w:t xml:space="preserve">(e.g., Muller-Landau</w:t>
      </w:r>
      <w:r>
        <w:t xml:space="preserve"> </w:t>
      </w:r>
      <w:r>
        <w:rPr>
          <w:iCs/>
          <w:i/>
        </w:rPr>
        <w:t xml:space="preserve">et al.</w:t>
      </w:r>
      <w:r>
        <w:t xml:space="preserve">, 2006; Stephenson</w:t>
      </w:r>
      <w:r>
        <w:t xml:space="preserve"> </w:t>
      </w:r>
      <w:r>
        <w:rPr>
          <w:iCs/>
          <w:i/>
        </w:rPr>
        <w:t xml:space="preserve">et al.</w:t>
      </w:r>
      <w:r>
        <w:t xml:space="preserve">, 2014)</w:t>
      </w:r>
      <w:r>
        <w:t xml:space="preserve">.</w:t>
      </w:r>
      <w:r>
        <w:t xml:space="preserve"> </w:t>
      </w:r>
      <w:r>
        <w:t xml:space="preserve">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Cs/>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Therefore, periods of high atmospheric demand–be these on time scales of hours, days, or seasons–tend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 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lower the capacity to adjust traits related to carbon metabolism to drought</w:t>
      </w:r>
      <w:r>
        <w:t xml:space="preserve"> </w:t>
      </w:r>
      <w:r>
        <w:t xml:space="preserve">(Bartholomew</w:t>
      </w:r>
      <w:r>
        <w:t xml:space="preserve"> </w:t>
      </w:r>
      <w:r>
        <w:rPr>
          <w:iCs/>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Cs/>
          <w:b/>
        </w:rPr>
        <w:t xml:space="preserve">Fig. 4</w:t>
      </w:r>
      <w:r>
        <w:t xml:space="preserve">,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 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this pattern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 exist.</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5.2. C and water flux</w:t>
      </w:r>
    </w:p>
    <w:p>
      <w:pPr>
        <w:pStyle w:val="FirstParagraph"/>
      </w:pPr>
      <w:r>
        <w:rPr>
          <w:bCs/>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 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 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 ANPPwoody and Mwoody 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Cs/>
          <w:i/>
        </w:rPr>
        <w:t xml:space="preserve">et al.</w:t>
      </w:r>
      <w:r>
        <w:t xml:space="preserve"> </w:t>
      </w:r>
      <w:r>
        <w:t xml:space="preserve">(2017)</w:t>
      </w:r>
      <w:r>
        <w:t xml:space="preserve">; panel (b) presents averages for 42 tropical forests from</w:t>
      </w:r>
      <w:r>
        <w:t xml:space="preserve"> </w:t>
      </w:r>
      <w:r>
        <w:t xml:space="preserve">(</w:t>
      </w:r>
      <w:r>
        <w:rPr>
          <w:bCs/>
          <w:b/>
        </w:rPr>
        <w:t xml:space="preserve">piponiot_sizerelated_inreview?</w:t>
      </w:r>
      <w:r>
        <w:t xml:space="preserve">)</w:t>
      </w:r>
      <w:r>
        <w:t xml:space="preserve">.</w:t>
      </w:r>
    </w:p>
    <w:p>
      <w:pPr>
        <w:pStyle w:val="BodyText"/>
      </w:pPr>
      <w:r>
        <w:rPr>
          <w:bCs/>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Cs/>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Cs/>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End w:id="49"/>
    <w:bookmarkStart w:id="325" w:name="iii.-implications"/>
    <w:p>
      <w:pPr>
        <w:pStyle w:val="Heading1"/>
      </w:pPr>
      <w:r>
        <w:t xml:space="preserve">III. 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to the</w:t>
      </w:r>
      <w:r>
        <w:t xml:space="preserve"> </w:t>
      </w:r>
      <m:oMath>
        <m:sSub>
          <m:e>
            <m:r>
              <m:t>T</m:t>
            </m:r>
          </m:e>
          <m:sub>
            <m:r>
              <m:t>o</m:t>
            </m:r>
            <m:r>
              <m:t>p</m:t>
            </m:r>
            <m:r>
              <m:t>t</m:t>
            </m:r>
          </m:sub>
        </m:sSub>
      </m:oMath>
      <w:r>
        <w:t xml:space="preserve"> </w:t>
      </w:r>
      <w:r>
        <w:t xml:space="preserve">of ecosystem photosynthesis (</w:t>
      </w:r>
      <m:oMath>
        <m:sSub>
          <m:e>
            <m:r>
              <m:t>T</m:t>
            </m:r>
          </m:e>
          <m:sub>
            <m:r>
              <m:t>o</m:t>
            </m:r>
            <m:r>
              <m:t>p</m:t>
            </m:r>
            <m:r>
              <m:t>t</m:t>
            </m:r>
            <m:r>
              <m:t>E</m:t>
            </m:r>
          </m:sub>
        </m:sSub>
      </m:oMath>
      <w:r>
        <w:t xml:space="preserve">). Temperature limitations to leaf processes, such as VPD and</w:t>
      </w:r>
      <w:r>
        <w:t xml:space="preserve"> </w:t>
      </w:r>
      <m:oMath>
        <m:sSub>
          <m:e>
            <m:r>
              <m:t>g</m:t>
            </m:r>
          </m:e>
          <m:sub>
            <m:r>
              <m:t>s</m:t>
            </m:r>
          </m:sub>
        </m:sSub>
      </m:oMath>
      <w:r>
        <w:t xml:space="preserve"> </w:t>
      </w:r>
      <w:r>
        <w:t xml:space="preserve">limitation, can modify</w:t>
      </w:r>
      <w:r>
        <w:t xml:space="preserve"> </w:t>
      </w:r>
      <m:oMath>
        <m:sSub>
          <m:e>
            <m:r>
              <m:t>T</m:t>
            </m:r>
          </m:e>
          <m:sub>
            <m:r>
              <m:t>o</m:t>
            </m:r>
            <m:r>
              <m:t>p</m:t>
            </m:r>
            <m:r>
              <m:t>t</m:t>
            </m:r>
            <m:r>
              <m:t>E</m:t>
            </m:r>
          </m:sub>
        </m:sSub>
      </m:oMath>
      <w:r>
        <w:t xml:space="preserve"> </w:t>
      </w:r>
      <w:r>
        <w:t xml:space="preserve">if species do not acclimate, resulting in reduced carbon sequestration</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 Exposed canopies are likely most vulnerable, as current growing season temperatures are equal to, or higher than photosynthetic optima of temperate and tropical forests</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2019b; Huang</w:t>
      </w:r>
      <w:r>
        <w:t xml:space="preserve"> </w:t>
      </w:r>
      <w:r>
        <w:rPr>
          <w:iCs/>
          <w:i/>
        </w:rPr>
        <w:t xml:space="preserve">et al.</w:t>
      </w:r>
      <w:r>
        <w:t xml:space="preserve">, 2019)</w:t>
      </w:r>
      <w:r>
        <w:t xml:space="preserve">, and leaf temperatures may approach lethal temperatures</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Cs/>
          <w:i/>
        </w:rPr>
        <w:t xml:space="preserve">et al.</w:t>
      </w:r>
      <w:r>
        <w:t xml:space="preserve">, 2017)</w:t>
      </w:r>
      <w:r>
        <w:t xml:space="preserve">.</w:t>
      </w:r>
      <w:r>
        <w:t xml:space="preserve"> </w:t>
      </w:r>
      <w:r>
        <w:t xml:space="preserve">A daytime temperature threshold of 32</w:t>
      </w:r>
      <m:oMath>
        <m:sSup>
          <m:e>
            <m:r>
              <m:t>​</m:t>
            </m:r>
          </m:e>
          <m:sup>
            <m:r>
              <m:rPr>
                <m:sty m:val="p"/>
              </m:rPr>
              <m:t>∘</m:t>
            </m:r>
          </m:sup>
        </m:sSup>
      </m:oMath>
      <w:r>
        <w:t xml:space="preserve">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Cs/>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 especially if RH in the understory does not inhibit transpirational cooling</w:t>
      </w:r>
      <w:r>
        <w:t xml:space="preserve"> </w:t>
      </w:r>
      <w:r>
        <w:t xml:space="preserve">(Fig 4, Rollinson</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Cs/>
          <w:i/>
        </w:rPr>
        <w:t xml:space="preserve">et al.</w:t>
      </w:r>
      <w:r>
        <w:t xml:space="preserve">, 2020)</w:t>
      </w:r>
      <w:r>
        <w:t xml:space="preserve"> </w:t>
      </w:r>
      <w:r>
        <w:t xml:space="preserve">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The disproportionate impact of stress on large trees holds for other types of disturbance, including forest fragmentation and logging</w:t>
      </w:r>
      <w:r>
        <w:t xml:space="preserve">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 Species with smaller leaves and larger</w:t>
      </w:r>
      <w:r>
        <w:t xml:space="preserve"> </w:t>
      </w:r>
      <m:oMath>
        <m:sSub>
          <m:e>
            <m:r>
              <m:t>g</m:t>
            </m:r>
          </m:e>
          <m:sub>
            <m:r>
              <m:t>s</m:t>
            </m:r>
          </m:sub>
        </m:sSub>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 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Cs/>
          <w:b/>
        </w:rPr>
        <w:t xml:space="preserve">Scaling in situ data with remote sensing</w:t>
      </w:r>
    </w:p>
    <w:p>
      <w:pPr>
        <w:pStyle w:val="BodyText"/>
      </w:pPr>
      <w:r>
        <w:t xml:space="preserve">Remote sensing data provide a valuable means to scale between</w:t>
      </w:r>
      <w:r>
        <w:t xml:space="preserve"> </w:t>
      </w:r>
      <w:r>
        <w:rPr>
          <w:iCs/>
          <w:i/>
        </w:rPr>
        <w:t xml:space="preserve">in situ</w:t>
      </w:r>
      <w:r>
        <w:t xml:space="preserve"> </w:t>
      </w:r>
      <w:r>
        <w:t xml:space="preserve">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 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Norbert Kunert, Camille Piponiot, and Andrew Davies for providing figure materials.</w:t>
      </w:r>
      <w:r>
        <w:t xml:space="preserve"> </w:t>
      </w:r>
      <w:r>
        <w:t xml:space="preserve">This manuscript benefited from feedback from Eleinis Ávila-Lovera, … and the ForestGEO Ecosystems &amp; Climate lab at SCBI.</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4" w:name="references"/>
    <w:p>
      <w:pPr>
        <w:pStyle w:val="Heading2"/>
      </w:pPr>
      <w:r>
        <w:t xml:space="preserve">References</w:t>
      </w:r>
    </w:p>
    <w:bookmarkStart w:id="323" w:name="refs"/>
    <w:bookmarkStart w:id="59"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59"/>
    <w:bookmarkStart w:id="60"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0"/>
    <w:bookmarkStart w:id="61"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1"/>
    <w:bookmarkStart w:id="62"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2"/>
    <w:bookmarkStart w:id="6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3"/>
    <w:bookmarkStart w:id="6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4"/>
    <w:bookmarkStart w:id="6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5"/>
    <w:bookmarkStart w:id="6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6"/>
    <w:bookmarkStart w:id="6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7"/>
    <w:bookmarkStart w:id="68"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68"/>
    <w:bookmarkStart w:id="69"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69"/>
    <w:bookmarkStart w:id="70"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0"/>
    <w:bookmarkStart w:id="71"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1"/>
    <w:bookmarkStart w:id="72"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2"/>
    <w:bookmarkStart w:id="73"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3"/>
    <w:bookmarkStart w:id="74"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4"/>
    <w:bookmarkStart w:id="75"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5"/>
    <w:bookmarkStart w:id="76"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6"/>
    <w:bookmarkStart w:id="77"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7"/>
    <w:bookmarkStart w:id="78"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8"/>
    <w:bookmarkStart w:id="79"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9"/>
    <w:bookmarkStart w:id="80"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6"/>
    <w:bookmarkStart w:id="87"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7"/>
    <w:bookmarkStart w:id="88"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w:t>
      </w:r>
      <w:r>
        <w:t xml:space="preserve"> </w:t>
      </w:r>
      <w:r>
        <w:t xml:space="preserve">A 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88"/>
    <w:bookmarkStart w:id="89"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89"/>
    <w:bookmarkStart w:id="90"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0"/>
    <w:bookmarkStart w:id="91"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1"/>
    <w:bookmarkStart w:id="9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2"/>
    <w:bookmarkStart w:id="93"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3"/>
    <w:bookmarkStart w:id="9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4"/>
    <w:bookmarkStart w:id="9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5"/>
    <w:bookmarkStart w:id="9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6"/>
    <w:bookmarkStart w:id="9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7"/>
    <w:bookmarkStart w:id="9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8"/>
    <w:bookmarkStart w:id="9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9"/>
    <w:bookmarkStart w:id="10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0"/>
    <w:bookmarkStart w:id="10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1"/>
    <w:bookmarkStart w:id="102"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2"/>
    <w:bookmarkStart w:id="103"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3"/>
    <w:bookmarkStart w:id="104"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4"/>
    <w:bookmarkStart w:id="105"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5"/>
    <w:bookmarkStart w:id="106"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6"/>
    <w:bookmarkStart w:id="107"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7"/>
    <w:bookmarkStart w:id="10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8"/>
    <w:bookmarkStart w:id="10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9"/>
    <w:bookmarkStart w:id="11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0"/>
    <w:bookmarkStart w:id="111"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1"/>
    <w:bookmarkStart w:id="112"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2"/>
    <w:bookmarkStart w:id="113"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3"/>
    <w:bookmarkStart w:id="114"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4"/>
    <w:bookmarkStart w:id="115"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5"/>
    <w:bookmarkStart w:id="116"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6"/>
    <w:bookmarkStart w:id="117"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7"/>
    <w:bookmarkStart w:id="118"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8"/>
    <w:bookmarkStart w:id="119"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9"/>
    <w:bookmarkStart w:id="120"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0"/>
    <w:bookmarkStart w:id="121"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1"/>
    <w:bookmarkStart w:id="122"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2"/>
    <w:bookmarkStart w:id="123"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3"/>
    <w:bookmarkStart w:id="12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4"/>
    <w:bookmarkStart w:id="12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5"/>
    <w:bookmarkStart w:id="126"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6"/>
    <w:bookmarkStart w:id="127"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27"/>
    <w:bookmarkStart w:id="128"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8"/>
    <w:bookmarkStart w:id="129"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29"/>
    <w:bookmarkStart w:id="130"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0"/>
    <w:bookmarkStart w:id="131"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1"/>
    <w:bookmarkStart w:id="132"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2"/>
    <w:bookmarkStart w:id="133"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3"/>
    <w:bookmarkStart w:id="134"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4"/>
    <w:bookmarkStart w:id="135"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5"/>
    <w:bookmarkStart w:id="13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6"/>
    <w:bookmarkStart w:id="13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7"/>
    <w:bookmarkStart w:id="13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8"/>
    <w:bookmarkStart w:id="13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39"/>
    <w:bookmarkStart w:id="140"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0"/>
    <w:bookmarkStart w:id="14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1"/>
    <w:bookmarkStart w:id="142"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42"/>
    <w:bookmarkStart w:id="14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3"/>
    <w:bookmarkStart w:id="14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4"/>
    <w:bookmarkStart w:id="14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5"/>
    <w:bookmarkStart w:id="14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6"/>
    <w:bookmarkStart w:id="14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7"/>
    <w:bookmarkStart w:id="14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8"/>
    <w:bookmarkStart w:id="149"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49"/>
    <w:bookmarkStart w:id="150"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0"/>
    <w:bookmarkStart w:id="15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1"/>
    <w:bookmarkStart w:id="15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2"/>
    <w:bookmarkStart w:id="15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3"/>
    <w:bookmarkStart w:id="15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4"/>
    <w:bookmarkStart w:id="155"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5"/>
    <w:bookmarkStart w:id="156"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6"/>
    <w:bookmarkStart w:id="157"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7"/>
    <w:bookmarkStart w:id="15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8"/>
    <w:bookmarkStart w:id="15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59"/>
    <w:bookmarkStart w:id="16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0"/>
    <w:bookmarkStart w:id="16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1"/>
    <w:bookmarkStart w:id="16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2"/>
    <w:bookmarkStart w:id="16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3"/>
    <w:bookmarkStart w:id="16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4"/>
    <w:bookmarkStart w:id="16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5"/>
    <w:bookmarkStart w:id="16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6"/>
    <w:bookmarkStart w:id="16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7"/>
    <w:bookmarkStart w:id="16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8"/>
    <w:bookmarkStart w:id="16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69"/>
    <w:bookmarkStart w:id="17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0"/>
    <w:bookmarkStart w:id="17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1"/>
    <w:bookmarkStart w:id="17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2"/>
    <w:bookmarkStart w:id="17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2019b</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3"/>
    <w:bookmarkStart w:id="174"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2019a</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4"/>
    <w:bookmarkStart w:id="17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5"/>
    <w:bookmarkStart w:id="17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6"/>
    <w:bookmarkStart w:id="17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7"/>
    <w:bookmarkStart w:id="17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8"/>
    <w:bookmarkStart w:id="17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79"/>
    <w:bookmarkStart w:id="18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0"/>
    <w:bookmarkStart w:id="18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1"/>
    <w:bookmarkStart w:id="18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2"/>
    <w:bookmarkStart w:id="18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3"/>
    <w:bookmarkStart w:id="18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4"/>
    <w:bookmarkStart w:id="18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5"/>
    <w:bookmarkStart w:id="18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6"/>
    <w:bookmarkStart w:id="18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7"/>
    <w:bookmarkStart w:id="18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8"/>
    <w:bookmarkStart w:id="18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89"/>
    <w:bookmarkStart w:id="19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0"/>
    <w:bookmarkStart w:id="19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1"/>
    <w:bookmarkStart w:id="19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2"/>
    <w:bookmarkStart w:id="19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3"/>
    <w:bookmarkStart w:id="19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4"/>
    <w:bookmarkStart w:id="19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5"/>
    <w:bookmarkStart w:id="19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6"/>
    <w:bookmarkStart w:id="19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7"/>
    <w:bookmarkStart w:id="19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8"/>
    <w:bookmarkStart w:id="19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199"/>
    <w:bookmarkStart w:id="20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0"/>
    <w:bookmarkStart w:id="20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1"/>
    <w:bookmarkStart w:id="20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2"/>
    <w:bookmarkStart w:id="20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3"/>
    <w:bookmarkStart w:id="204"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4"/>
    <w:bookmarkStart w:id="205"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5"/>
    <w:bookmarkStart w:id="20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6"/>
    <w:bookmarkStart w:id="20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7"/>
    <w:bookmarkStart w:id="20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8"/>
    <w:bookmarkStart w:id="20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09"/>
    <w:bookmarkStart w:id="21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0"/>
    <w:bookmarkStart w:id="21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1"/>
    <w:bookmarkStart w:id="21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2"/>
    <w:bookmarkStart w:id="21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3"/>
    <w:bookmarkStart w:id="21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4"/>
    <w:bookmarkStart w:id="21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5"/>
    <w:bookmarkStart w:id="21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6"/>
    <w:bookmarkStart w:id="21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7"/>
    <w:bookmarkStart w:id="21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8"/>
    <w:bookmarkStart w:id="219" w:name="X2a62a2b24cf5d08d26d2b72f4f2d20064113475"/>
    <w:p>
      <w:pPr>
        <w:pStyle w:val="Bibliography"/>
      </w:pPr>
      <w:r>
        <w:rPr>
          <w:bCs/>
          <w:b/>
          <w:bCs/>
          <w:b/>
        </w:rPr>
        <w:t xml:space="preserve">Niinemets Ü</w:t>
      </w:r>
      <w:r>
        <w:t xml:space="preserve">.</w:t>
      </w:r>
      <w:r>
        <w:t xml:space="preserve"> </w:t>
      </w:r>
      <w:r>
        <w:rPr>
          <w:bCs/>
          <w:b/>
        </w:rPr>
        <w:t xml:space="preserve">2007b</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19"/>
    <w:bookmarkStart w:id="220" w:name="Xded14c93cfc3dc1d315ce5b7dc4cb9ced26a4c0"/>
    <w:p>
      <w:pPr>
        <w:pStyle w:val="Bibliography"/>
      </w:pPr>
      <w:r>
        <w:rPr>
          <w:bCs/>
          <w:b/>
          <w:bCs/>
          <w:b/>
        </w:rPr>
        <w:t xml:space="preserve">Niinemets Ü</w:t>
      </w:r>
      <w:r>
        <w:t xml:space="preserve">.</w:t>
      </w:r>
      <w:r>
        <w:t xml:space="preserve"> </w:t>
      </w:r>
      <w:r>
        <w:rPr>
          <w:bCs/>
          <w:b/>
        </w:rPr>
        <w:t xml:space="preserve">2007a</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0"/>
    <w:bookmarkStart w:id="221"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1"/>
    <w:bookmarkStart w:id="22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22"/>
    <w:bookmarkStart w:id="223"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3"/>
    <w:bookmarkStart w:id="22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4"/>
    <w:bookmarkStart w:id="22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5"/>
    <w:bookmarkStart w:id="226"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6"/>
    <w:bookmarkStart w:id="22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7"/>
    <w:bookmarkStart w:id="22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8"/>
    <w:bookmarkStart w:id="22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29"/>
    <w:bookmarkStart w:id="23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0"/>
    <w:bookmarkStart w:id="231"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31"/>
    <w:bookmarkStart w:id="23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2"/>
    <w:bookmarkStart w:id="23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3"/>
    <w:bookmarkStart w:id="23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4"/>
    <w:bookmarkStart w:id="23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5"/>
    <w:bookmarkStart w:id="23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6"/>
    <w:bookmarkStart w:id="237"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7"/>
    <w:bookmarkStart w:id="23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8"/>
    <w:bookmarkStart w:id="23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39"/>
    <w:bookmarkStart w:id="240"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0"/>
    <w:bookmarkStart w:id="241"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1"/>
    <w:bookmarkStart w:id="24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2"/>
    <w:bookmarkStart w:id="243"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3"/>
    <w:bookmarkStart w:id="244"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4"/>
    <w:bookmarkStart w:id="245"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5"/>
    <w:bookmarkStart w:id="246"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6"/>
    <w:bookmarkStart w:id="247"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7"/>
    <w:bookmarkStart w:id="248"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8"/>
    <w:bookmarkStart w:id="249"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49"/>
    <w:bookmarkStart w:id="250"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0"/>
    <w:bookmarkStart w:id="251"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1"/>
    <w:bookmarkStart w:id="252"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2"/>
    <w:bookmarkStart w:id="25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3"/>
    <w:bookmarkStart w:id="254"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4"/>
    <w:bookmarkStart w:id="255"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5"/>
    <w:bookmarkStart w:id="256"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6"/>
    <w:bookmarkStart w:id="25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7"/>
    <w:bookmarkStart w:id="25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8"/>
    <w:bookmarkStart w:id="25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59"/>
    <w:bookmarkStart w:id="26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0"/>
    <w:bookmarkStart w:id="26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1"/>
    <w:bookmarkStart w:id="262"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2"/>
    <w:bookmarkStart w:id="263"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3"/>
    <w:bookmarkStart w:id="264"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4"/>
    <w:bookmarkStart w:id="265"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5"/>
    <w:bookmarkStart w:id="26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6"/>
    <w:bookmarkStart w:id="26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7"/>
    <w:bookmarkStart w:id="26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68"/>
    <w:bookmarkStart w:id="269"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69"/>
    <w:bookmarkStart w:id="270"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0"/>
    <w:bookmarkStart w:id="271"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1"/>
    <w:bookmarkStart w:id="272"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2"/>
    <w:bookmarkStart w:id="273"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3"/>
    <w:bookmarkStart w:id="274"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4"/>
    <w:bookmarkStart w:id="275"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5"/>
    <w:bookmarkStart w:id="276"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6"/>
    <w:bookmarkStart w:id="277"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7"/>
    <w:bookmarkStart w:id="278" w:name="Xe2b8412b8eeb6a0e754b3714d7160edd425159e"/>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de Oliveira 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Figueira M</w:t>
      </w:r>
      <w:r>
        <w:rPr>
          <w:bCs/>
          <w:b/>
        </w:rPr>
        <w:t xml:space="preserve">,</w:t>
      </w:r>
      <w:r>
        <w:rPr>
          <w:bCs/>
          <w:b/>
        </w:rPr>
        <w:t xml:space="preserve"> </w:t>
      </w:r>
      <w:r>
        <w:rPr>
          <w:bCs/>
          <w:b/>
          <w:bCs/>
          <w:b/>
        </w:rPr>
        <w:t xml:space="preserve">de Camargo PB</w:t>
      </w:r>
      <w:r>
        <w:rPr>
          <w:bCs/>
          <w:b/>
        </w:rPr>
        <w:t xml:space="preserve">,</w:t>
      </w:r>
      <w:r>
        <w:rPr>
          <w:bCs/>
          <w:b/>
        </w:rPr>
        <w:t xml:space="preserve"> </w:t>
      </w:r>
      <w:r>
        <w:rPr>
          <w:iCs/>
          <w:i/>
          <w:bCs/>
          <w:b/>
        </w:rPr>
        <w:t xml:space="preserve">et al.</w:t>
      </w:r>
      <w:r>
        <w:t xml:space="preserve"> </w:t>
      </w:r>
      <w:r>
        <w:rPr>
          <w:bCs/>
          <w:b/>
        </w:rPr>
        <w:t xml:space="preserve">2019a</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37.</w:t>
      </w:r>
    </w:p>
    <w:bookmarkEnd w:id="278"/>
    <w:bookmarkStart w:id="27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2019b</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79"/>
    <w:bookmarkStart w:id="28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0"/>
    <w:bookmarkStart w:id="28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1"/>
    <w:bookmarkStart w:id="28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2"/>
    <w:bookmarkStart w:id="283"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3"/>
    <w:bookmarkStart w:id="284" w:name="ref-stephensonRateTreeCarbon2014"/>
    <w:p>
      <w:pPr>
        <w:pStyle w:val="Bibliography"/>
      </w:pPr>
      <w:r>
        <w:rPr>
          <w:bCs/>
          <w:b/>
          <w:bCs/>
          <w:b/>
        </w:rPr>
        <w:t xml:space="preserve">Stephenson NL</w:t>
      </w:r>
      <w:r>
        <w:rPr>
          <w:bCs/>
          <w:b/>
        </w:rPr>
        <w:t xml:space="preserve">,</w:t>
      </w:r>
      <w:r>
        <w:rPr>
          <w:bCs/>
          <w:b/>
        </w:rPr>
        <w:t xml:space="preserve"> </w:t>
      </w:r>
      <w:r>
        <w:rPr>
          <w:bCs/>
          <w:b/>
          <w:bCs/>
          <w:b/>
        </w:rPr>
        <w:t xml:space="preserve">Das AJ</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Baker PJ</w:t>
      </w:r>
      <w:r>
        <w:rPr>
          <w:bCs/>
          <w:b/>
        </w:rPr>
        <w:t xml:space="preserve">,</w:t>
      </w:r>
      <w:r>
        <w:rPr>
          <w:bCs/>
          <w:b/>
        </w:rPr>
        <w:t xml:space="preserve"> </w:t>
      </w:r>
      <w:r>
        <w:rPr>
          <w:bCs/>
          <w:b/>
          <w:bCs/>
          <w:b/>
        </w:rPr>
        <w:t xml:space="preserve">Beckman NG</w:t>
      </w:r>
      <w:r>
        <w:rPr>
          <w:bCs/>
          <w:b/>
        </w:rPr>
        <w:t xml:space="preserve">,</w:t>
      </w:r>
      <w:r>
        <w:rPr>
          <w:bCs/>
          <w:b/>
        </w:rPr>
        <w:t xml:space="preserve"> </w:t>
      </w:r>
      <w:r>
        <w:rPr>
          <w:bCs/>
          <w:b/>
          <w:bCs/>
          <w:b/>
        </w:rPr>
        <w:t xml:space="preserve">Coomes DA</w:t>
      </w:r>
      <w:r>
        <w:rPr>
          <w:bCs/>
          <w:b/>
        </w:rPr>
        <w:t xml:space="preserve">,</w:t>
      </w:r>
      <w:r>
        <w:rPr>
          <w:bCs/>
          <w:b/>
        </w:rPr>
        <w:t xml:space="preserve"> </w:t>
      </w:r>
      <w:r>
        <w:rPr>
          <w:bCs/>
          <w:b/>
          <w:bCs/>
          <w:b/>
        </w:rPr>
        <w:t xml:space="preserve">Lines ER</w:t>
      </w:r>
      <w:r>
        <w:rPr>
          <w:bCs/>
          <w:b/>
        </w:rPr>
        <w:t xml:space="preserve">,</w:t>
      </w:r>
      <w:r>
        <w:rPr>
          <w:bCs/>
          <w:b/>
        </w:rPr>
        <w:t xml:space="preserve"> </w:t>
      </w:r>
      <w:r>
        <w:rPr>
          <w:bCs/>
          <w:b/>
          <w:bCs/>
          <w:b/>
        </w:rPr>
        <w:t xml:space="preserve">Morris WK</w:t>
      </w:r>
      <w:r>
        <w:rPr>
          <w:bCs/>
          <w:b/>
        </w:rPr>
        <w:t xml:space="preserve">,</w:t>
      </w:r>
      <w:r>
        <w:rPr>
          <w:bCs/>
          <w:b/>
        </w:rPr>
        <w:t xml:space="preserve"> </w:t>
      </w:r>
      <w:r>
        <w:rPr>
          <w:bCs/>
          <w:b/>
          <w:bCs/>
          <w:b/>
        </w:rPr>
        <w:t xml:space="preserve">Rüger N</w:t>
      </w:r>
      <w:r>
        <w:rPr>
          <w:bCs/>
          <w:b/>
        </w:rPr>
        <w:t xml:space="preserve">,</w:t>
      </w:r>
      <w:r>
        <w:rPr>
          <w:bCs/>
          <w:b/>
        </w:rPr>
        <w:t xml:space="preserve"> </w:t>
      </w:r>
      <w:r>
        <w:rPr>
          <w:iCs/>
          <w:i/>
          <w:bCs/>
          <w:b/>
        </w:rPr>
        <w:t xml:space="preserve">et al.</w:t>
      </w:r>
      <w:r>
        <w:t xml:space="preserve"> </w:t>
      </w:r>
      <w:r>
        <w:rPr>
          <w:bCs/>
          <w:b/>
        </w:rPr>
        <w:t xml:space="preserve">2014</w:t>
      </w:r>
      <w:r>
        <w:t xml:space="preserve">. Rate of tree carbon accumulation increases continuously with tree size.</w:t>
      </w:r>
      <w:r>
        <w:t xml:space="preserve"> </w:t>
      </w:r>
      <w:r>
        <w:rPr>
          <w:iCs/>
          <w:i/>
        </w:rPr>
        <w:t xml:space="preserve">Nature</w:t>
      </w:r>
      <w:r>
        <w:t xml:space="preserve"> </w:t>
      </w:r>
      <w:r>
        <w:rPr>
          <w:bCs/>
          <w:b/>
        </w:rPr>
        <w:t xml:space="preserve">507</w:t>
      </w:r>
      <w:r>
        <w:t xml:space="preserve">: 90–93.</w:t>
      </w:r>
    </w:p>
    <w:bookmarkEnd w:id="284"/>
    <w:bookmarkStart w:id="28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5"/>
    <w:bookmarkStart w:id="28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6"/>
    <w:bookmarkStart w:id="287"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7"/>
    <w:bookmarkStart w:id="28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8"/>
    <w:bookmarkStart w:id="289"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89"/>
    <w:bookmarkStart w:id="29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0"/>
    <w:bookmarkStart w:id="29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1"/>
    <w:bookmarkStart w:id="292"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2"/>
    <w:bookmarkStart w:id="293"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3"/>
    <w:bookmarkStart w:id="294"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4"/>
    <w:bookmarkStart w:id="295"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5"/>
    <w:bookmarkStart w:id="296"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6"/>
    <w:bookmarkStart w:id="29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7"/>
    <w:bookmarkStart w:id="29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8"/>
    <w:bookmarkStart w:id="29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99"/>
    <w:bookmarkStart w:id="30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0"/>
    <w:bookmarkStart w:id="30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1"/>
    <w:bookmarkStart w:id="30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2"/>
    <w:bookmarkStart w:id="30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3"/>
    <w:bookmarkStart w:id="304"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4"/>
    <w:bookmarkStart w:id="30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5"/>
    <w:bookmarkStart w:id="30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6"/>
    <w:bookmarkStart w:id="30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7"/>
    <w:bookmarkStart w:id="30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8"/>
    <w:bookmarkStart w:id="30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09"/>
    <w:bookmarkStart w:id="31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10"/>
    <w:bookmarkStart w:id="31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1"/>
    <w:bookmarkStart w:id="31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2"/>
    <w:bookmarkStart w:id="31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3"/>
    <w:bookmarkStart w:id="31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4"/>
    <w:bookmarkStart w:id="31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5"/>
    <w:bookmarkStart w:id="31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6"/>
    <w:bookmarkStart w:id="31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7"/>
    <w:bookmarkStart w:id="318"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8"/>
    <w:bookmarkStart w:id="31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19"/>
    <w:bookmarkStart w:id="32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20"/>
    <w:bookmarkStart w:id="32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1"/>
    <w:bookmarkStart w:id="32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2"/>
    <w:bookmarkEnd w:id="323"/>
    <w:bookmarkEnd w:id="324"/>
    <w:bookmarkEnd w:id="3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2021-09-29T16:06:02Z</dcterms:created>
  <dcterms:modified xsi:type="dcterms:W3CDTF">2021-09-29T16:06:02Z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